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1A18AB0A" w:rsidR="00CC7E6D" w:rsidRPr="00AD435C" w:rsidRDefault="00C801C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Kajaktour</w:t>
            </w: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68220CF1" w:rsidR="00CC7E6D" w:rsidRPr="005F4CAA" w:rsidRDefault="00CC7E6D">
            <w:pPr>
              <w:rPr>
                <w:rFonts w:ascii="Aptos" w:hAnsi="Aptos"/>
                <w:sz w:val="17"/>
                <w:szCs w:val="17"/>
              </w:rPr>
            </w:pPr>
            <w:r w:rsidRPr="005F4CAA">
              <w:rPr>
                <w:rFonts w:ascii="Aptos" w:hAnsi="Aptos"/>
                <w:sz w:val="17"/>
                <w:szCs w:val="17"/>
              </w:rPr>
              <w:t xml:space="preserve">9 a/b </w:t>
            </w:r>
            <w:r w:rsidR="004B13FD" w:rsidRPr="005F4CAA">
              <w:rPr>
                <w:rFonts w:ascii="Aptos" w:hAnsi="Aptos"/>
                <w:sz w:val="17"/>
                <w:szCs w:val="17"/>
              </w:rPr>
              <w:t>bzw.</w:t>
            </w:r>
            <w:r w:rsidRPr="005F4CAA">
              <w:rPr>
                <w:rFonts w:ascii="Aptos" w:hAnsi="Aptos"/>
                <w:sz w:val="17"/>
                <w:szCs w:val="17"/>
              </w:rPr>
              <w:t xml:space="preserve"> 10 a/b (32 </w:t>
            </w:r>
            <w:proofErr w:type="spellStart"/>
            <w:r w:rsidRPr="005F4CAA">
              <w:rPr>
                <w:rFonts w:ascii="Aptos" w:hAnsi="Aptos"/>
                <w:sz w:val="17"/>
                <w:szCs w:val="17"/>
              </w:rPr>
              <w:t>SuS</w:t>
            </w:r>
            <w:proofErr w:type="spellEnd"/>
            <w:r w:rsidRPr="005F4CAA">
              <w:rPr>
                <w:rFonts w:ascii="Aptos" w:hAnsi="Aptos"/>
                <w:sz w:val="17"/>
                <w:szCs w:val="17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01570895" w14:textId="2A98A8F3" w:rsidR="00CC7E6D" w:rsidRPr="00AD435C" w:rsidRDefault="00CC7E6D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Sebastian Schmitt</w:t>
            </w:r>
          </w:p>
          <w:p w14:paraId="0F8535D4" w14:textId="4C00BA8D" w:rsidR="00CC7E6D" w:rsidRPr="00AD435C" w:rsidRDefault="00CC7E6D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Ralf Fischlein</w:t>
            </w:r>
          </w:p>
          <w:p w14:paraId="5490B517" w14:textId="37FFA7CB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Isabelle Schedel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3B1CFE1" w14:textId="1C183A1D" w:rsidR="00CC7E6D" w:rsidRPr="00AD435C" w:rsidRDefault="00C801C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Kajakfahren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ist gesund, umweltfreundlich,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sorgt für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praktizierte Mobilitätsbildung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 Verbesserung von Kraft, Ausdauer, Koordination. Schulung des Gleichgewichts,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Vermittlung von Freude, Aufbau von Vertrauen, Rücksichtnahme und Kommunikation, Persönlichkeitsentwicklung, Stressreduktion und Achtsamkeit durch Naturerfahrung, Abenteuer und Erlebnisorientierung</w:t>
            </w: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3AC0C39D" w14:textId="77777777" w:rsidR="00CC7E6D" w:rsidRDefault="00AD435C">
            <w:pPr>
              <w:rPr>
                <w:rFonts w:ascii="Aptos" w:hAnsi="Aptos"/>
                <w:sz w:val="17"/>
                <w:szCs w:val="17"/>
              </w:rPr>
            </w:pPr>
            <w:r w:rsidRPr="00AD435C">
              <w:rPr>
                <w:rFonts w:ascii="Aptos" w:hAnsi="Aptos"/>
                <w:sz w:val="17"/>
                <w:szCs w:val="17"/>
              </w:rPr>
              <w:t>Abschlussfahrt 22.09.2025 – 26.09.2025</w:t>
            </w:r>
          </w:p>
          <w:p w14:paraId="1DBB04B7" w14:textId="23E3E36E" w:rsidR="00C801C0" w:rsidRPr="00AD435C" w:rsidRDefault="00C801C0">
            <w:pPr>
              <w:rPr>
                <w:rFonts w:ascii="Aptos" w:hAnsi="Aptos"/>
                <w:sz w:val="17"/>
                <w:szCs w:val="17"/>
              </w:rPr>
            </w:pPr>
            <w:proofErr w:type="spellStart"/>
            <w:r>
              <w:rPr>
                <w:rFonts w:ascii="Aptos" w:hAnsi="Aptos"/>
                <w:sz w:val="17"/>
                <w:szCs w:val="17"/>
              </w:rPr>
              <w:t>Premantura</w:t>
            </w:r>
            <w:proofErr w:type="spellEnd"/>
            <w:r w:rsidR="00B84E19">
              <w:rPr>
                <w:rFonts w:ascii="Aptos" w:hAnsi="Aptos"/>
                <w:sz w:val="17"/>
                <w:szCs w:val="17"/>
              </w:rPr>
              <w:t xml:space="preserve"> (Küstengewässer)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3584A0A8" w:rsidR="00CC7E6D" w:rsidRPr="00AD435C" w:rsidRDefault="00C801C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Naturschutzrecht,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Schifffahrtsrecht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 Gemeingebrauchsrecht</w:t>
            </w: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240A5B9B" w14:textId="0BFA20CB" w:rsidR="00AD435C" w:rsidRPr="00AD435C" w:rsidRDefault="00AD435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Vorab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i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nformation an Eltern (Ziel, notwendige Ausrüstung, Proviant,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Guides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, anfallende Kosten,</w:t>
            </w:r>
          </w:p>
          <w:p w14:paraId="03A15EE0" w14:textId="11873739" w:rsidR="00AD435C" w:rsidRPr="00AD435C" w:rsidRDefault="00AD435C" w:rsidP="00AD435C">
            <w:pPr>
              <w:rPr>
                <w:rFonts w:ascii="Aptos" w:hAnsi="Aptos"/>
                <w:sz w:val="18"/>
                <w:szCs w:val="18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Zeitpunkt der Abfahrt und der Rückkehr)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+ Or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ts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kundige Guides, die die Aktivität betreuen und leiten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AADE93A" w14:textId="157ACB2D" w:rsidR="00CC7E6D" w:rsidRPr="00AD435C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Aus Gründen der Sicherheit ist während des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Kajakfahrens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ein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e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proofErr w:type="gramStart"/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gut sitzende</w:t>
            </w:r>
            <w:proofErr w:type="gramEnd"/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Schwimmweste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zu tragen. Unmittelbar vor der Abfahrt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werden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die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Kajaks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nochmals überprüf</w:t>
            </w:r>
            <w:r w:rsidR="00E50033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t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. Akustische bzw.</w:t>
            </w:r>
            <w:r w:rsidR="00B3019A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optische Signale (z. B. bei Gefahren oder Hindernissen, zum Sammeln, bei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nahenden Schiffen etc.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) vereinbaren und mit den Schülerinnen und Schülern entsprechendes Verhalten einüben.</w:t>
            </w:r>
            <w:r w:rsidR="00B3019A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801C0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Erste-Hilfe-Set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mitnehmen. Je nach Witterungslage für witterungsbeständige</w:t>
            </w:r>
            <w:r w:rsidR="00B3019A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Kleidung bzw. ausreichenden Sonnenschutz sorgen.</w:t>
            </w: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778757C3" w14:textId="6BC87F17" w:rsidR="00AD435C" w:rsidRPr="00AD435C" w:rsidRDefault="00C801C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Wasserstraßen oder Anlegepunkte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beschränkt. Nutzungsrechte (z. B.</w:t>
            </w:r>
            <w:r w:rsid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Privatweg) beachten. Die Strecke sollte von de</w:t>
            </w:r>
            <w:r w:rsid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>n ortskundigen Guides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 abgefahren und auf Gefahrenstellen überprüft werden (</w:t>
            </w:r>
            <w: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z.B. Stromschnellen / Strömungen).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  <w:t xml:space="preserve">Es sollte immer der sicherste Weg gewählt werden. </w:t>
            </w:r>
          </w:p>
          <w:p w14:paraId="055D14CF" w14:textId="1456E8AE" w:rsidR="00CC7E6D" w:rsidRPr="00AD435C" w:rsidRDefault="00CC7E6D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1006CB8" w14:textId="1A892844" w:rsidR="00CC7E6D" w:rsidRPr="00B3019A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An der </w:t>
            </w:r>
            <w:r w:rsidR="00C801C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Kajaktour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kann nur teilnehmen, wer über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eine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entsprechende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Gesundheit </w:t>
            </w:r>
            <w:r w:rsidR="00B84E19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verfügt</w:t>
            </w:r>
            <w:r w:rsidR="00BF7F4D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,</w:t>
            </w:r>
            <w:r w:rsidR="000A507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Schwimmen kann.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Die Lehrkraft muss sich über die Fähigkeiten der Schülerinnen und Schüler Klarheit verschaffen und in Abhängigkeit des Alters der Schülerinnen und Schüler eine Einverständniserklärung der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Erziehungsberechtigten einholen.</w:t>
            </w: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3E207028" w:rsidR="00CC7E6D" w:rsidRPr="00AD435C" w:rsidRDefault="00AD435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Einen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ortskundigen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Guide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wählen</w:t>
            </w:r>
            <w:r w:rsid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.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Wichtig ist es, sich in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Aufsichtsfragen abzustimmen. Mit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den Guides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vereinbaren, was bei eventuellen Zwischenfällen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zu tun ist (z. B.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vorab Erstellung einer Telefonliste). Anzahl der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Lehrkräfte und Guides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gemäß Vorgaben des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CC7E6D"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Landes und Gruppengröße bemessen.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78E76550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Die Lehrkr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äfte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sind Ersthelfer bzw. Ersthelferinnen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(aktuelle Ausbildung Fortbildung 202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  <w:r w:rsidR="002762D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+ 2 Inhaber des Silbernen Rettungsschwimmers</w:t>
            </w:r>
          </w:p>
          <w:p w14:paraId="73902604" w14:textId="77F87FF0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auf der 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Kajaktour mitführen</w:t>
            </w:r>
          </w:p>
          <w:p w14:paraId="7E62CEE7" w14:textId="2AE8CE6A" w:rsidR="00CC7E6D" w:rsidRPr="00AD435C" w:rsidRDefault="00CC7E6D" w:rsidP="002F006F">
            <w:pPr>
              <w:rPr>
                <w:rFonts w:ascii="Aptos" w:hAnsi="Aptos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Handy der </w:t>
            </w:r>
            <w:r w:rsid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Lehrkräfte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in wasserfestem Beutel</w:t>
            </w: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280E70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proofErr w:type="spellStart"/>
            <w:r>
              <w:rPr>
                <w:b/>
                <w:bCs/>
              </w:rPr>
              <w:t>Forschreiben</w:t>
            </w:r>
            <w:proofErr w:type="spellEnd"/>
          </w:p>
        </w:tc>
      </w:tr>
      <w:tr w:rsidR="0043694D" w14:paraId="0DCAC95B" w14:textId="77777777" w:rsidTr="00280E70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280E70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50D1AB3A" w:rsidR="009354D6" w:rsidRPr="00E50033" w:rsidRDefault="00B84E19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Ertrinken und Wassergefahren durch Kenterung, starke Strömungen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72F3DE2" w14:textId="18C30422" w:rsidR="006B27D3" w:rsidRPr="00E50033" w:rsidRDefault="00B84E19" w:rsidP="0033755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Tragen zertifizierter Schwimmwesten zu jeder Zeit</w:t>
            </w:r>
          </w:p>
          <w:p w14:paraId="0151D294" w14:textId="41F8DF2D" w:rsidR="0013514C" w:rsidRP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B84E19">
              <w:rPr>
                <w:sz w:val="18"/>
                <w:szCs w:val="18"/>
              </w:rPr>
              <w:t>inführende</w:t>
            </w:r>
            <w:r>
              <w:rPr>
                <w:sz w:val="18"/>
                <w:szCs w:val="18"/>
              </w:rPr>
              <w:t xml:space="preserve">s </w:t>
            </w:r>
            <w:r w:rsidRPr="00B84E19">
              <w:rPr>
                <w:sz w:val="18"/>
                <w:szCs w:val="18"/>
              </w:rPr>
              <w:t xml:space="preserve">Sicherheitstraining, um das </w:t>
            </w:r>
            <w:proofErr w:type="spellStart"/>
            <w:r w:rsidRPr="00B84E19">
              <w:rPr>
                <w:sz w:val="18"/>
                <w:szCs w:val="18"/>
              </w:rPr>
              <w:t>Kenterverhalten</w:t>
            </w:r>
            <w:proofErr w:type="spellEnd"/>
            <w:r w:rsidRPr="00B84E19">
              <w:rPr>
                <w:sz w:val="18"/>
                <w:szCs w:val="18"/>
              </w:rPr>
              <w:t xml:space="preserve"> und die Rettungstechniken zu kennen</w:t>
            </w:r>
          </w:p>
          <w:p w14:paraId="7D6CAEB5" w14:textId="77777777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Überprüfung der Wetterbedingungen und Gewässerverhältnisse (z. B. Strömung, Wellen)</w:t>
            </w:r>
          </w:p>
          <w:p w14:paraId="7394477E" w14:textId="6EB0C6C8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stabile Paddeltechnik sicherstellen</w:t>
            </w:r>
          </w:p>
          <w:p w14:paraId="3433A981" w14:textId="3E04A894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Übung der Kenterung und des Wiedereinstiegs aus dem Wasser</w:t>
            </w:r>
          </w:p>
          <w:p w14:paraId="25A86730" w14:textId="2027F71B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keine übermäßige Geschwindigkeit und Überanstrengung bei schwierigen Bedingungen</w:t>
            </w:r>
          </w:p>
          <w:p w14:paraId="797EEEF1" w14:textId="51082135" w:rsidR="00B84E19" w:rsidRDefault="00B84E19" w:rsidP="00B84E19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Anleitung ortskundiger Guides</w:t>
            </w:r>
          </w:p>
          <w:p w14:paraId="0FE812C2" w14:textId="1AAAD483" w:rsidR="00B84E19" w:rsidRPr="00B84E19" w:rsidRDefault="00B84E19" w:rsidP="00B84E19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01F76CD9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990E17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ortskundiger Guide</w:t>
            </w:r>
          </w:p>
        </w:tc>
      </w:tr>
      <w:tr w:rsidR="009354D6" w:rsidRPr="00B3019A" w14:paraId="729BE74A" w14:textId="427EEAE4" w:rsidTr="00280E70">
        <w:trPr>
          <w:trHeight w:val="279"/>
        </w:trPr>
        <w:tc>
          <w:tcPr>
            <w:tcW w:w="3839" w:type="dxa"/>
          </w:tcPr>
          <w:p w14:paraId="02EA0555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B5250A2" w14:textId="4BF14B7E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Kollision (mit Gegenständen,</w:t>
            </w:r>
          </w:p>
          <w:p w14:paraId="244BE5F9" w14:textId="3D2385F6" w:rsidR="009354D6" w:rsidRPr="00E50033" w:rsidRDefault="006B27D3" w:rsidP="006B27D3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Mitfahrenden, F</w:t>
            </w:r>
            <w:r w:rsidR="00B84E19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elsen und Booten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839" w:type="dxa"/>
          </w:tcPr>
          <w:p w14:paraId="59FAC36B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904FA" w:rsidRPr="00E50033" w:rsidRDefault="002F006F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0C466EC3" w14:textId="77777777" w:rsidR="009354D6" w:rsidRPr="00E50033" w:rsidRDefault="009354D6" w:rsidP="00E5003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40AF75C" w14:textId="3BEED6A4" w:rsidR="006B27D3" w:rsidRDefault="00B84E19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Aufmerksamkeit auf die Umgebung und frühzeitige Erkennung von Hindernissen</w:t>
            </w:r>
          </w:p>
          <w:p w14:paraId="4C6801CD" w14:textId="4AB408E5" w:rsidR="00280E70" w:rsidRPr="00E50033" w:rsidRDefault="00280E70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Rücksichtnahme auf andere Wasserfahrzeuge und korrekte Navigation im Einklang mit den Verkehrsvorschriften</w:t>
            </w:r>
          </w:p>
          <w:p w14:paraId="33C02936" w14:textId="77777777" w:rsidR="006B27D3" w:rsidRPr="00E50033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Abstände einhalten</w:t>
            </w:r>
          </w:p>
          <w:p w14:paraId="0A692E76" w14:textId="77777777" w:rsidR="006B27D3" w:rsidRPr="00E50033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angepasste Geschwindigkeit</w:t>
            </w:r>
          </w:p>
          <w:p w14:paraId="1520357B" w14:textId="7ABE9474" w:rsidR="00280E70" w:rsidRDefault="00B84E19" w:rsidP="00280E70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Vermeidung von Bereichen mit vielen Felsen oder entsprechenden Gefahrenquellen</w:t>
            </w:r>
          </w:p>
          <w:p w14:paraId="74066D33" w14:textId="25EF9283" w:rsidR="00280E70" w:rsidRPr="00280E70" w:rsidRDefault="00280E70" w:rsidP="00280E70">
            <w:pPr>
              <w:pStyle w:val="Listenabsatz"/>
              <w:numPr>
                <w:ilvl w:val="0"/>
                <w:numId w:val="16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lastRenderedPageBreak/>
              <w:t>Verwenden eines geeigneten Paddels, um Hindernisse zu umfahren</w:t>
            </w:r>
          </w:p>
          <w:p w14:paraId="4F9D16A5" w14:textId="1426F087" w:rsidR="00B84E19" w:rsidRPr="00E50033" w:rsidRDefault="00B84E19" w:rsidP="00E50033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DDD7D05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77267599" w:rsidR="006B27D3" w:rsidRPr="00E50033" w:rsidRDefault="00990E17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ortskundiger Guide</w:t>
            </w:r>
          </w:p>
        </w:tc>
      </w:tr>
      <w:tr w:rsidR="009354D6" w:rsidRPr="00B3019A" w14:paraId="247F2822" w14:textId="77777777" w:rsidTr="00280E70">
        <w:trPr>
          <w:trHeight w:val="144"/>
        </w:trPr>
        <w:tc>
          <w:tcPr>
            <w:tcW w:w="3839" w:type="dxa"/>
          </w:tcPr>
          <w:p w14:paraId="03086184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20444300" w:rsidR="009354D6" w:rsidRPr="00E50033" w:rsidRDefault="00280E70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Unfälle durch mangelnde Sicht oder schwierige Witterungsbedingungen (Regen, Eintretende Dunkelheit)</w:t>
            </w:r>
          </w:p>
        </w:tc>
        <w:tc>
          <w:tcPr>
            <w:tcW w:w="3839" w:type="dxa"/>
          </w:tcPr>
          <w:p w14:paraId="714BA40E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5B3F957F" w:rsidR="00E904FA" w:rsidRPr="00E50033" w:rsidRDefault="00280E70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9354D6" w:rsidRPr="00E50033" w:rsidRDefault="009354D6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4F1595D1" w14:textId="2D43E317" w:rsidR="006B27D3" w:rsidRPr="00E50033" w:rsidRDefault="00280E70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Durchführung nur bei guten Sichtverhältnissen oder in gut beleuchteten Bereichen</w:t>
            </w:r>
          </w:p>
          <w:p w14:paraId="12AA5E6B" w14:textId="77777777" w:rsidR="00E50033" w:rsidRDefault="00280E70" w:rsidP="00280E7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bei schlechten Witterungsbedingungen oder reduzierter Sicht sofort an Land gehen oder das Kajak sicher am Ufer abstellen</w:t>
            </w:r>
          </w:p>
          <w:p w14:paraId="51B4C92A" w14:textId="28D033E9" w:rsidR="00280E70" w:rsidRDefault="00280E70" w:rsidP="00280E7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Wettervorhersage prüfen</w:t>
            </w:r>
          </w:p>
          <w:p w14:paraId="3FF7FC9B" w14:textId="695A80D1" w:rsidR="00280E70" w:rsidRPr="00E50033" w:rsidRDefault="00280E70" w:rsidP="00280E70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3C57755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05FA3B9D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9354D6" w:rsidRPr="00B3019A" w14:paraId="59A96644" w14:textId="77777777" w:rsidTr="00280E70">
        <w:trPr>
          <w:trHeight w:val="144"/>
        </w:trPr>
        <w:tc>
          <w:tcPr>
            <w:tcW w:w="3839" w:type="dxa"/>
          </w:tcPr>
          <w:p w14:paraId="615589A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0FDA6C49" w:rsidR="009354D6" w:rsidRPr="00E50033" w:rsidRDefault="00280E70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Verletzung durch Paddelausrüstung (Muskelverspannungen, Verstauchungen oder Prellungen; auch die Kante des Kajaks kann zu Verletzungen führen)</w:t>
            </w:r>
          </w:p>
        </w:tc>
        <w:tc>
          <w:tcPr>
            <w:tcW w:w="3839" w:type="dxa"/>
          </w:tcPr>
          <w:p w14:paraId="287B2EE1" w14:textId="77777777" w:rsidR="004B13FD" w:rsidRPr="00E50033" w:rsidRDefault="004B13FD" w:rsidP="004B13FD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E904FA" w:rsidRPr="00E50033" w:rsidRDefault="006B27D3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9354D6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B3019A" w:rsidRPr="00E50033" w:rsidRDefault="00B3019A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10833B9D" w14:textId="77777777" w:rsidR="009354D6" w:rsidRPr="00280E70" w:rsidRDefault="00280E70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Paddeln mit der richtigen Technik und einem ergonomischen Paddel</w:t>
            </w:r>
          </w:p>
          <w:p w14:paraId="161D9530" w14:textId="77777777" w:rsidR="00280E70" w:rsidRDefault="00280E70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Aufwärmübungen und Dehnübungen vor der Fahrt</w:t>
            </w:r>
          </w:p>
          <w:p w14:paraId="742B79FB" w14:textId="77777777" w:rsidR="00280E70" w:rsidRDefault="00280E70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sorgfältiger Umgang mit der Paddelausrüstung und Vermeidung von plötzlichen Bewegungen</w:t>
            </w:r>
          </w:p>
          <w:p w14:paraId="23AA0E71" w14:textId="164AB8BA" w:rsidR="00280E70" w:rsidRPr="00E50033" w:rsidRDefault="00280E70" w:rsidP="00280E70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BD98013" w14:textId="77777777" w:rsidR="00E50033" w:rsidRPr="00E50033" w:rsidRDefault="00E50033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12133A2A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</w:tr>
      <w:tr w:rsidR="009354D6" w:rsidRPr="00B3019A" w14:paraId="0C379B73" w14:textId="77777777" w:rsidTr="00280E70">
        <w:trPr>
          <w:trHeight w:val="2050"/>
        </w:trPr>
        <w:tc>
          <w:tcPr>
            <w:tcW w:w="3839" w:type="dxa"/>
          </w:tcPr>
          <w:p w14:paraId="7C5D1C43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5FC879B" w14:textId="298F5FDB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Fahren im Verband (Gruppe wird getrennt;</w:t>
            </w:r>
          </w:p>
          <w:p w14:paraId="52C5232E" w14:textId="53EB2D15" w:rsidR="009354D6" w:rsidRPr="00E50033" w:rsidRDefault="006B27D3" w:rsidP="006B27D3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Ablenkung, Unsicherheit)</w:t>
            </w:r>
          </w:p>
        </w:tc>
        <w:tc>
          <w:tcPr>
            <w:tcW w:w="3839" w:type="dxa"/>
          </w:tcPr>
          <w:p w14:paraId="5F683325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7DF9E2B9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990E17" w:rsidRPr="00E50033" w:rsidRDefault="00990E17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5B02ECB" w14:textId="1556E735" w:rsidR="006B27D3" w:rsidRPr="00E50033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vorab üben und Verhaltensregeln absprechen</w:t>
            </w:r>
          </w:p>
          <w:p w14:paraId="70131BFC" w14:textId="2F859876" w:rsidR="00B3019A" w:rsidRPr="00E50033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Regelungen der </w:t>
            </w:r>
            <w:r w:rsidR="00280E7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Wasser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verkehrsordnung berücksichtigen</w:t>
            </w:r>
          </w:p>
          <w:p w14:paraId="230746B0" w14:textId="77777777" w:rsidR="009354D6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gleichmäßiges Fahrtempo</w:t>
            </w:r>
          </w:p>
          <w:p w14:paraId="54AF63B9" w14:textId="77777777" w:rsidR="0013514C" w:rsidRDefault="0013514C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Gruppen bilden / Reihenfolge bestimmen</w:t>
            </w:r>
          </w:p>
          <w:p w14:paraId="0D6FB4D5" w14:textId="36F4B521" w:rsidR="00E4577F" w:rsidRDefault="00E4577F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nach der Fahrt: Überprüfung der Anwesenheit</w:t>
            </w:r>
          </w:p>
          <w:p w14:paraId="07772D7D" w14:textId="49B32F39" w:rsidR="0013514C" w:rsidRPr="00E50033" w:rsidRDefault="0013514C" w:rsidP="0013514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5B12E7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597DF523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6B27D3" w:rsidRPr="00B3019A" w14:paraId="5DC4EE49" w14:textId="77777777" w:rsidTr="00280E70">
        <w:trPr>
          <w:trHeight w:val="2050"/>
        </w:trPr>
        <w:tc>
          <w:tcPr>
            <w:tcW w:w="3839" w:type="dxa"/>
          </w:tcPr>
          <w:p w14:paraId="71C6A2A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782D0285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Überforderung</w:t>
            </w:r>
          </w:p>
        </w:tc>
        <w:tc>
          <w:tcPr>
            <w:tcW w:w="3839" w:type="dxa"/>
          </w:tcPr>
          <w:p w14:paraId="45331CFE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6DDC8F" w:rsidR="006B27D3" w:rsidRPr="00E50033" w:rsidRDefault="00990E17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99A9F6A" w14:textId="0FFDC532" w:rsidR="00B3019A" w:rsidRPr="00E50033" w:rsidRDefault="00B3019A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Schwächere fahren vorne</w:t>
            </w:r>
            <w:r w:rsidR="0013514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+ Aufwärmen</w:t>
            </w:r>
          </w:p>
          <w:p w14:paraId="501754BA" w14:textId="77777777" w:rsidR="00B3019A" w:rsidRPr="00E50033" w:rsidRDefault="00B3019A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gesundheitliche Probleme einzelner</w:t>
            </w:r>
          </w:p>
          <w:p w14:paraId="4DE14D46" w14:textId="5DFD948F" w:rsidR="00B3019A" w:rsidRPr="00E4577F" w:rsidRDefault="00B3019A" w:rsidP="00EB4A8D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Schülerinnen bzw. Schüler berücksichtigen</w:t>
            </w:r>
            <w:r w:rsidR="00E4577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(Vorabfrage nach Herz-Kreislauf-Erkrankungen oder weiteren beeinträchtigenden Erkrankungen</w:t>
            </w:r>
            <w:r w:rsidR="00864FB0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  <w:r w:rsidR="00E4577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0E1D6C7" w14:textId="77777777" w:rsidR="00B3019A" w:rsidRPr="00E50033" w:rsidRDefault="00B3019A" w:rsidP="00B3019A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Pausen gezielt einplanen</w:t>
            </w:r>
          </w:p>
          <w:p w14:paraId="54F73DD4" w14:textId="65982038" w:rsidR="00B3019A" w:rsidRPr="00E50033" w:rsidRDefault="00B3019A" w:rsidP="00B3019A">
            <w:pPr>
              <w:pStyle w:val="Listenabsatz"/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6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6862DC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21D71805" w:rsidR="006B27D3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6B27D3" w:rsidRPr="00B3019A" w14:paraId="5C1BFD85" w14:textId="77777777" w:rsidTr="00280E70">
        <w:trPr>
          <w:trHeight w:val="2050"/>
        </w:trPr>
        <w:tc>
          <w:tcPr>
            <w:tcW w:w="3839" w:type="dxa"/>
          </w:tcPr>
          <w:p w14:paraId="1002AAC7" w14:textId="77777777" w:rsidR="00B3019A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FABC5AC" w14:textId="6C5B9226" w:rsidR="006B27D3" w:rsidRPr="00B3019A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Klimatische Bedingungen (Hitze, Kälte,</w:t>
            </w:r>
          </w:p>
          <w:p w14:paraId="25C0052E" w14:textId="7BCB6206" w:rsidR="006B27D3" w:rsidRPr="00B3019A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B3019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Sonneneinstrahlung)</w:t>
            </w:r>
          </w:p>
        </w:tc>
        <w:tc>
          <w:tcPr>
            <w:tcW w:w="3839" w:type="dxa"/>
          </w:tcPr>
          <w:p w14:paraId="162F87B5" w14:textId="77777777" w:rsidR="006B27D3" w:rsidRPr="00B3019A" w:rsidRDefault="006B27D3" w:rsidP="00E904FA">
            <w:pPr>
              <w:jc w:val="center"/>
              <w:rPr>
                <w:rFonts w:ascii="Aptos" w:hAnsi="Aptos"/>
              </w:rPr>
            </w:pPr>
          </w:p>
          <w:p w14:paraId="3875E6EC" w14:textId="40E997CD" w:rsidR="006B27D3" w:rsidRPr="005F4CAA" w:rsidRDefault="00990E17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6B27D3" w:rsidRPr="005F4CAA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6B27D3" w:rsidRPr="005F4CAA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sz w:val="18"/>
                <w:szCs w:val="18"/>
              </w:rPr>
              <w:t xml:space="preserve">  </w:t>
            </w:r>
            <w:r w:rsidR="005F4CAA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6B27D3" w:rsidRPr="00B3019A" w:rsidRDefault="006B27D3" w:rsidP="00E904F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6B27D3" w:rsidRPr="00E50033" w:rsidRDefault="006B27D3" w:rsidP="00990E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CA205CD" w14:textId="79BE0901" w:rsidR="00B3019A" w:rsidRPr="0013514C" w:rsidRDefault="00496E74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</w:t>
            </w:r>
            <w:r w:rsidR="00B3019A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enügend Flüssigkeit zuführen</w:t>
            </w:r>
          </w:p>
          <w:p w14:paraId="49802A6C" w14:textId="1AEF7498" w:rsidR="0013514C" w:rsidRPr="00E50033" w:rsidRDefault="0013514C" w:rsidP="0013514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(0,5 Liter pro Stunde)</w:t>
            </w:r>
          </w:p>
          <w:p w14:paraId="37B58E5A" w14:textId="77777777" w:rsidR="00B3019A" w:rsidRPr="0013514C" w:rsidRDefault="00B3019A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ggfs. Sonnenschutz auftragen</w:t>
            </w:r>
          </w:p>
          <w:p w14:paraId="7F170700" w14:textId="501A715F" w:rsidR="0013514C" w:rsidRPr="00E4577F" w:rsidRDefault="0013514C" w:rsidP="00E4577F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/>
                <w:sz w:val="18"/>
                <w:szCs w:val="18"/>
              </w:rPr>
              <w:t>Traubenzucker mitnehmen</w:t>
            </w:r>
          </w:p>
        </w:tc>
        <w:tc>
          <w:tcPr>
            <w:tcW w:w="3844" w:type="dxa"/>
          </w:tcPr>
          <w:p w14:paraId="105ED624" w14:textId="77777777" w:rsidR="006B27D3" w:rsidRDefault="006B27D3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129C45EC" w:rsidR="00990E17" w:rsidRPr="00B3019A" w:rsidRDefault="00E50033" w:rsidP="009354D6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  <w:tr w:rsidR="00E4577F" w:rsidRPr="00B3019A" w14:paraId="25782BA8" w14:textId="77777777" w:rsidTr="00280E70">
        <w:trPr>
          <w:trHeight w:val="2050"/>
        </w:trPr>
        <w:tc>
          <w:tcPr>
            <w:tcW w:w="3839" w:type="dxa"/>
          </w:tcPr>
          <w:p w14:paraId="521E2EA9" w14:textId="77777777" w:rsidR="00E4577F" w:rsidRDefault="00E4577F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5825BCB" w14:textId="1DF4BAA1" w:rsidR="00E4577F" w:rsidRDefault="00E4577F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Angriffe von Tieren (z. B. Haie, Quallen, Insekten)</w:t>
            </w:r>
          </w:p>
        </w:tc>
        <w:tc>
          <w:tcPr>
            <w:tcW w:w="3839" w:type="dxa"/>
          </w:tcPr>
          <w:p w14:paraId="64CBB8D0" w14:textId="77777777" w:rsidR="00E4577F" w:rsidRDefault="00E4577F" w:rsidP="00E904FA">
            <w:pPr>
              <w:jc w:val="center"/>
              <w:rPr>
                <w:rFonts w:ascii="Aptos" w:hAnsi="Aptos"/>
              </w:rPr>
            </w:pPr>
          </w:p>
          <w:p w14:paraId="767DF8D3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9BF9AC1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6A0D1BB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29AB0D4" w14:textId="77777777" w:rsidR="00E4577F" w:rsidRPr="005F4CAA" w:rsidRDefault="00E4577F" w:rsidP="00E4577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37E69D8" w14:textId="77777777" w:rsidR="00E4577F" w:rsidRPr="005F4CAA" w:rsidRDefault="00E4577F" w:rsidP="00E4577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50857F4" w14:textId="77777777" w:rsidR="00E4577F" w:rsidRPr="00B3019A" w:rsidRDefault="00E4577F" w:rsidP="00E904F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1AD7091E" w14:textId="77777777" w:rsidR="00E4577F" w:rsidRDefault="00E4577F" w:rsidP="00990E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1B5359B4" w14:textId="77777777" w:rsidR="00E4577F" w:rsidRPr="00E4577F" w:rsidRDefault="00E4577F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Information über mögliche Gefahren durch Tiere im betreffenden Gewässer </w:t>
            </w:r>
          </w:p>
          <w:p w14:paraId="0C232A59" w14:textId="331C845B" w:rsidR="00E4577F" w:rsidRPr="00E4577F" w:rsidRDefault="00E4577F" w:rsidP="00E4577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4"/>
                <w:szCs w:val="14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Ausreichend Schutz gegen Insektenstiche (mitführen von Insektenschutzmittel)</w:t>
            </w:r>
          </w:p>
        </w:tc>
        <w:tc>
          <w:tcPr>
            <w:tcW w:w="3844" w:type="dxa"/>
          </w:tcPr>
          <w:p w14:paraId="5058AC91" w14:textId="77777777" w:rsidR="00E4577F" w:rsidRDefault="00E4577F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C1C51BA" w14:textId="74E1087F" w:rsidR="00E4577F" w:rsidRDefault="00E4577F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ortskundiger Guide</w:t>
            </w:r>
          </w:p>
        </w:tc>
      </w:tr>
    </w:tbl>
    <w:p w14:paraId="4B67BA56" w14:textId="77777777" w:rsidR="002F27D9" w:rsidRDefault="002F27D9">
      <w:pPr>
        <w:rPr>
          <w:rFonts w:ascii="Aptos" w:hAnsi="Aptos"/>
          <w:sz w:val="6"/>
          <w:szCs w:val="6"/>
        </w:rPr>
      </w:pPr>
    </w:p>
    <w:p w14:paraId="6770A57F" w14:textId="77777777" w:rsidR="00E4577F" w:rsidRDefault="00E4577F">
      <w:pPr>
        <w:rPr>
          <w:rFonts w:ascii="Aptos" w:hAnsi="Aptos"/>
          <w:sz w:val="6"/>
          <w:szCs w:val="6"/>
        </w:rPr>
      </w:pPr>
    </w:p>
    <w:p w14:paraId="2ECB62D8" w14:textId="77777777" w:rsidR="00E4577F" w:rsidRPr="0013514C" w:rsidRDefault="00E4577F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53505" w14:textId="77777777" w:rsidR="00C872ED" w:rsidRDefault="00C872ED" w:rsidP="00884956">
      <w:r>
        <w:separator/>
      </w:r>
    </w:p>
  </w:endnote>
  <w:endnote w:type="continuationSeparator" w:id="0">
    <w:p w14:paraId="465289E8" w14:textId="77777777" w:rsidR="00C872ED" w:rsidRDefault="00C872ED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7AC1B" w14:textId="77777777" w:rsidR="00C872ED" w:rsidRDefault="00C872ED" w:rsidP="00884956">
      <w:r>
        <w:separator/>
      </w:r>
    </w:p>
  </w:footnote>
  <w:footnote w:type="continuationSeparator" w:id="0">
    <w:p w14:paraId="50A402A2" w14:textId="77777777" w:rsidR="00C872ED" w:rsidRDefault="00C872ED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94E0E84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3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5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47084"/>
    <w:rsid w:val="000941A5"/>
    <w:rsid w:val="000A5075"/>
    <w:rsid w:val="0013514C"/>
    <w:rsid w:val="001743DA"/>
    <w:rsid w:val="0027592C"/>
    <w:rsid w:val="002762DA"/>
    <w:rsid w:val="00280E70"/>
    <w:rsid w:val="00285F2C"/>
    <w:rsid w:val="002F006F"/>
    <w:rsid w:val="002F27D9"/>
    <w:rsid w:val="00337557"/>
    <w:rsid w:val="0043694D"/>
    <w:rsid w:val="00496E74"/>
    <w:rsid w:val="004B13FD"/>
    <w:rsid w:val="004D4F08"/>
    <w:rsid w:val="005F4CAA"/>
    <w:rsid w:val="0066470F"/>
    <w:rsid w:val="006B27D3"/>
    <w:rsid w:val="00712F06"/>
    <w:rsid w:val="0076006A"/>
    <w:rsid w:val="007713C1"/>
    <w:rsid w:val="00864FB0"/>
    <w:rsid w:val="00884956"/>
    <w:rsid w:val="009354D6"/>
    <w:rsid w:val="00953FF3"/>
    <w:rsid w:val="00990E17"/>
    <w:rsid w:val="00AD435C"/>
    <w:rsid w:val="00B04016"/>
    <w:rsid w:val="00B3019A"/>
    <w:rsid w:val="00B84E19"/>
    <w:rsid w:val="00BE4084"/>
    <w:rsid w:val="00BF7F4D"/>
    <w:rsid w:val="00C640A3"/>
    <w:rsid w:val="00C801C0"/>
    <w:rsid w:val="00C85727"/>
    <w:rsid w:val="00C872ED"/>
    <w:rsid w:val="00CA73E1"/>
    <w:rsid w:val="00CC4D86"/>
    <w:rsid w:val="00CC7E6D"/>
    <w:rsid w:val="00CD78AB"/>
    <w:rsid w:val="00D219FC"/>
    <w:rsid w:val="00E23FE2"/>
    <w:rsid w:val="00E4577F"/>
    <w:rsid w:val="00E50033"/>
    <w:rsid w:val="00E904FA"/>
    <w:rsid w:val="00EB4A8D"/>
    <w:rsid w:val="00ED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1013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9</cp:revision>
  <cp:lastPrinted>2025-01-23T18:17:00Z</cp:lastPrinted>
  <dcterms:created xsi:type="dcterms:W3CDTF">2025-01-23T18:17:00Z</dcterms:created>
  <dcterms:modified xsi:type="dcterms:W3CDTF">2025-01-23T19:41:00Z</dcterms:modified>
</cp:coreProperties>
</file>