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03C159DD" w:rsidR="003E7812" w:rsidRPr="003E7812" w:rsidRDefault="00243FA5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Schnuppertraining American Football mit den Neu-Ulm Spartans</w:t>
            </w:r>
            <w:r w:rsidRPr="003E7812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0E4AEE9F" w14:textId="232866B9" w:rsidR="008B7215" w:rsidRPr="008B7215" w:rsidRDefault="008B7215" w:rsidP="008B7215">
            <w:pPr>
              <w:rPr>
                <w:sz w:val="18"/>
                <w:szCs w:val="18"/>
              </w:rPr>
            </w:pPr>
            <w:r w:rsidRPr="008B7215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 xml:space="preserve">10. Jahrgangsstufe (ca. </w:t>
            </w:r>
            <w:r>
              <w:rPr>
                <w:sz w:val="18"/>
                <w:szCs w:val="18"/>
              </w:rPr>
              <w:t>1</w:t>
            </w:r>
            <w:r w:rsidR="00243FA5">
              <w:rPr>
                <w:sz w:val="18"/>
                <w:szCs w:val="18"/>
              </w:rPr>
              <w:t>0</w:t>
            </w:r>
            <w:r w:rsidR="008A0DEC">
              <w:rPr>
                <w:sz w:val="18"/>
                <w:szCs w:val="18"/>
              </w:rPr>
              <w:t xml:space="preserve"> </w:t>
            </w:r>
            <w:r w:rsidR="00243FA5">
              <w:rPr>
                <w:sz w:val="18"/>
                <w:szCs w:val="18"/>
              </w:rPr>
              <w:t>–</w:t>
            </w:r>
            <w:r w:rsidR="008A0DEC">
              <w:rPr>
                <w:sz w:val="18"/>
                <w:szCs w:val="18"/>
              </w:rPr>
              <w:t xml:space="preserve"> </w:t>
            </w:r>
            <w:r w:rsidR="00243FA5">
              <w:rPr>
                <w:sz w:val="18"/>
                <w:szCs w:val="18"/>
              </w:rPr>
              <w:t xml:space="preserve">40 </w:t>
            </w:r>
            <w:proofErr w:type="spellStart"/>
            <w:r w:rsidRPr="008B7215">
              <w:rPr>
                <w:sz w:val="18"/>
                <w:szCs w:val="18"/>
              </w:rPr>
              <w:t>SuS</w:t>
            </w:r>
            <w:proofErr w:type="spellEnd"/>
            <w:r w:rsidRPr="008B7215">
              <w:rPr>
                <w:sz w:val="18"/>
                <w:szCs w:val="18"/>
              </w:rPr>
              <w:t>)</w:t>
            </w:r>
          </w:p>
          <w:p w14:paraId="4E314E2B" w14:textId="3107AB7F" w:rsidR="00CC7E6D" w:rsidRPr="003E7812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45C8D324" w14:textId="77777777" w:rsidR="008A0DEC" w:rsidRDefault="00243FA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Kennenlernen einer inklusiven, vielseitigen Mannschaftssportart. Förderung von Teamarbeit, Motorik, Fairness und Taktikverständnis. Erweitertes Sportartenportfolio, körperliches Ausprobieren neuer Bewegungsmuster.</w:t>
            </w:r>
          </w:p>
          <w:p w14:paraId="23B1CFE1" w14:textId="32D8F95F" w:rsidR="00243FA5" w:rsidRPr="003E7812" w:rsidRDefault="00243FA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52C39F4D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>Sporttag 25.09.2025, 0</w:t>
            </w:r>
            <w:r w:rsidR="00243FA5">
              <w:rPr>
                <w:rFonts w:ascii="Aptos" w:hAnsi="Aptos"/>
                <w:sz w:val="17"/>
                <w:szCs w:val="17"/>
              </w:rPr>
              <w:t>8</w:t>
            </w:r>
            <w:r>
              <w:rPr>
                <w:rFonts w:ascii="Aptos" w:hAnsi="Aptos"/>
                <w:sz w:val="17"/>
                <w:szCs w:val="17"/>
              </w:rPr>
              <w:t>:</w:t>
            </w:r>
            <w:r w:rsidR="00243FA5">
              <w:rPr>
                <w:rFonts w:ascii="Aptos" w:hAnsi="Aptos"/>
                <w:sz w:val="17"/>
                <w:szCs w:val="17"/>
              </w:rPr>
              <w:t>30</w:t>
            </w:r>
            <w:r>
              <w:rPr>
                <w:rFonts w:ascii="Aptos" w:hAnsi="Aptos"/>
                <w:sz w:val="17"/>
                <w:szCs w:val="17"/>
              </w:rPr>
              <w:t xml:space="preserve"> Uhr – 1</w:t>
            </w:r>
            <w:r w:rsidR="00243FA5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 xml:space="preserve">:00 Uhr, </w:t>
            </w:r>
            <w:r w:rsidR="008A0DEC">
              <w:rPr>
                <w:rFonts w:ascii="Aptos" w:hAnsi="Aptos"/>
                <w:sz w:val="17"/>
                <w:szCs w:val="17"/>
              </w:rPr>
              <w:t>Sportpark Vöhringen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79348F3D" w:rsidR="008A0DEC" w:rsidRPr="003E7812" w:rsidRDefault="00243FA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Aufsichtspflicht, Schulrecht, Geländeordnung des Sportparks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282" w:type="dxa"/>
            <w:gridSpan w:val="2"/>
          </w:tcPr>
          <w:p w14:paraId="77F82790" w14:textId="77777777" w:rsidR="00243FA5" w:rsidRDefault="00BE4084" w:rsidP="00243FA5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2B68E2D" w14:textId="57E49A16" w:rsidR="00243FA5" w:rsidRPr="007C2B06" w:rsidRDefault="00243FA5" w:rsidP="00243FA5">
            <w:pPr>
              <w:rPr>
                <w:rFonts w:ascii="Aptos" w:hAnsi="Aptos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Kooperation mit den Neu-Ulm Spartans (Trainer*innen und Organisationsteam). Information der Erziehungsberechtigten inkl. Einverständniserklärung, Hinweise zu Sportkleidung, Trinkflasche, Sonnenschutz usw.</w:t>
            </w:r>
          </w:p>
          <w:p w14:paraId="03A15EE0" w14:textId="20DEA621" w:rsidR="00AD435C" w:rsidRPr="008B7215" w:rsidRDefault="00AD435C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0A1C8A5" w14:textId="77777777" w:rsidR="008A0DEC" w:rsidRDefault="00243FA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 xml:space="preserve">Ankunft im Sportpark Vöhringen bis 08:30 Uhr, Begrüßung und Einführung durch Trainer*innen der Spartans. Aufwärmübungen, Technikstationen (Werfen, Fangen, </w:t>
            </w:r>
            <w:proofErr w:type="spellStart"/>
            <w:r w:rsidRPr="007C2B06">
              <w:rPr>
                <w:rFonts w:ascii="Aptos" w:hAnsi="Aptos"/>
                <w:color w:val="000000"/>
                <w:sz w:val="18"/>
                <w:szCs w:val="18"/>
              </w:rPr>
              <w:t>Flag</w:t>
            </w:r>
            <w:proofErr w:type="spellEnd"/>
            <w:r w:rsidRPr="007C2B06">
              <w:rPr>
                <w:rFonts w:ascii="Aptos" w:hAnsi="Aptos"/>
                <w:color w:val="000000"/>
                <w:sz w:val="18"/>
                <w:szCs w:val="18"/>
              </w:rPr>
              <w:t>-Pulling), kleine Spielformen in Teams. Abschluss mit lockerer Spielsimulation. Verabschiedung gegen 13:00 Uhr.</w:t>
            </w:r>
          </w:p>
          <w:p w14:paraId="4AADE93A" w14:textId="5B1F1AAB" w:rsidR="00243FA5" w:rsidRPr="003E7812" w:rsidRDefault="00243FA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00377978" w:rsidR="00CC7E6D" w:rsidRPr="00AD435C" w:rsidRDefault="00243FA5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Der Sportpark Vöhringen bietet ein umzäuntes, gepflegtes Gelände mit Rasenplatz, ggf. Tartanstreifen, Sanitäranlagen, Pausenflächen und Tribüne. Sicherheitseinweisung erfolgt durch die Spartans.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22890C9" w14:textId="77777777" w:rsidR="008A0DEC" w:rsidRDefault="00243FA5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Schüler*innen mit unterschiedlicher sportlicher Vorerfahrung. Mögliche Unsicherheiten bzgl. Körperkontakt, Sportart ist vielen noch unbekannt. Einige haben möglicherweise Einschränkungen bei Kraft, Koordination oder Kondition.</w:t>
            </w:r>
          </w:p>
          <w:p w14:paraId="51006CB8" w14:textId="01600B00" w:rsidR="00243FA5" w:rsidRPr="003E7812" w:rsidRDefault="00243FA5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6F978ECE" w:rsidR="00CC7E6D" w:rsidRPr="003E7812" w:rsidRDefault="00243FA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color w:val="000000"/>
                <w:sz w:val="18"/>
                <w:szCs w:val="18"/>
              </w:rPr>
              <w:t>Eine oder zwei Lehrkräfte als Aufsichtspersonen. Angeleitet wird das Training durch mehrere Trainer*innen der Neu-Ulm Spartans. Gemeinsame Verantwortung für Sicherheit, Disziplin und Motivation.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29A5A8B1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Erste-Hilfe-Kasten der Sporthalle</w:t>
            </w:r>
            <w:r w:rsidR="00243FA5">
              <w:rPr>
                <w:rFonts w:ascii="Aptos" w:hAnsi="Aptos"/>
                <w:color w:val="000000"/>
                <w:sz w:val="18"/>
                <w:szCs w:val="18"/>
              </w:rPr>
              <w:t xml:space="preserve"> + </w:t>
            </w:r>
            <w:r w:rsidR="00243FA5" w:rsidRPr="007C2B06">
              <w:rPr>
                <w:rFonts w:ascii="Aptos" w:hAnsi="Aptos"/>
                <w:color w:val="000000"/>
                <w:sz w:val="18"/>
                <w:szCs w:val="18"/>
              </w:rPr>
              <w:t>Mobile Erste-Hilfe-Ausrüstung</w:t>
            </w:r>
          </w:p>
          <w:p w14:paraId="57A4BBFC" w14:textId="7675BB69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Handy und hausinterne Notrufeinrichtungen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5BFE0A08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CC18AA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6617F443" w:rsidR="009354D6" w:rsidRPr="003E7812" w:rsidRDefault="00243FA5" w:rsidP="006B27D3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Stolpern / Umknicken auf Rasenfläche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2D8E84A7" w:rsidR="00E904FA" w:rsidRPr="00E50033" w:rsidRDefault="00243FA5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3A6323A5" w:rsidR="00E904FA" w:rsidRPr="00E50033" w:rsidRDefault="00243FA5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33018ED" w14:textId="77777777" w:rsidR="00243FA5" w:rsidRPr="00243FA5" w:rsidRDefault="00243FA5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Plat</w:t>
            </w:r>
            <w:r w:rsidRPr="007C2B06">
              <w:rPr>
                <w:rFonts w:ascii="Aptos" w:hAnsi="Aptos"/>
                <w:sz w:val="18"/>
                <w:szCs w:val="18"/>
              </w:rPr>
              <w:t>zkontrolle vor Beginn</w:t>
            </w:r>
          </w:p>
          <w:p w14:paraId="0FE812C2" w14:textId="1C17D50C" w:rsidR="0013514C" w:rsidRPr="008B7215" w:rsidRDefault="00243FA5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ordentliche Schuhe mit Profil</w:t>
            </w:r>
            <w:r>
              <w:rPr>
                <w:rFonts w:ascii="Aptos" w:hAnsi="Aptos"/>
                <w:sz w:val="18"/>
                <w:szCs w:val="18"/>
              </w:rPr>
              <w:t xml:space="preserve"> (wenn möglich Fußballschuhe)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4DDFD248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243FA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34392BB8" w:rsidR="003E7812" w:rsidRPr="003E7812" w:rsidRDefault="00243FA5" w:rsidP="003E7812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Zusammenstoß / Kollision mit Mitspielenden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564183DD" w:rsidR="003E7812" w:rsidRPr="00E50033" w:rsidRDefault="00243FA5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8ED5018" w:rsidR="003E7812" w:rsidRPr="00E50033" w:rsidRDefault="00243FA5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2EEC0850" w14:textId="77777777" w:rsidR="00243FA5" w:rsidRPr="00243FA5" w:rsidRDefault="00243FA5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Kleingruppen</w:t>
            </w:r>
          </w:p>
          <w:p w14:paraId="48C2C3E6" w14:textId="77777777" w:rsidR="00243FA5" w:rsidRPr="00243FA5" w:rsidRDefault="00243FA5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kontaktarme Spiele</w:t>
            </w:r>
          </w:p>
          <w:p w14:paraId="4F9D16A5" w14:textId="0C879744" w:rsidR="003E7812" w:rsidRPr="003E7812" w:rsidRDefault="00243FA5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Fairplay-Regeln betonen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0F86A8A2" w:rsidR="003E7812" w:rsidRPr="00E50033" w:rsidRDefault="00243FA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3E7812" w:rsidRPr="00B3019A" w14:paraId="247F2822" w14:textId="77777777" w:rsidTr="003E7812">
        <w:trPr>
          <w:trHeight w:val="144"/>
        </w:trPr>
        <w:tc>
          <w:tcPr>
            <w:tcW w:w="3839" w:type="dxa"/>
          </w:tcPr>
          <w:p w14:paraId="03086184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21F22742" w:rsidR="003E7812" w:rsidRPr="003E7812" w:rsidRDefault="00243FA5" w:rsidP="003E7812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Fehlverhalten mit Flaggen (reißen, ziehen am Körper)</w:t>
            </w:r>
          </w:p>
        </w:tc>
        <w:tc>
          <w:tcPr>
            <w:tcW w:w="3839" w:type="dxa"/>
          </w:tcPr>
          <w:p w14:paraId="714BA40E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0D857BF9" w:rsidR="003E7812" w:rsidRPr="00E50033" w:rsidRDefault="008A0DEC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0295C45D" w:rsidR="003E7812" w:rsidRPr="00E50033" w:rsidRDefault="008A0DEC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CB110FE" w14:textId="6FE5C56D" w:rsidR="00243FA5" w:rsidRPr="00243FA5" w:rsidRDefault="00243FA5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 xml:space="preserve">Einweisung in korrektes </w:t>
            </w:r>
            <w:proofErr w:type="spellStart"/>
            <w:r w:rsidRPr="007C2B06">
              <w:rPr>
                <w:rFonts w:ascii="Aptos" w:hAnsi="Aptos"/>
                <w:sz w:val="18"/>
                <w:szCs w:val="18"/>
              </w:rPr>
              <w:t>Flag</w:t>
            </w:r>
            <w:proofErr w:type="spellEnd"/>
            <w:r w:rsidRPr="007C2B06">
              <w:rPr>
                <w:rFonts w:ascii="Aptos" w:hAnsi="Aptos"/>
                <w:sz w:val="18"/>
                <w:szCs w:val="18"/>
              </w:rPr>
              <w:t>-Pulling</w:t>
            </w:r>
          </w:p>
          <w:p w14:paraId="3FF7FC9B" w14:textId="4AA52609" w:rsidR="003E7812" w:rsidRPr="003E7812" w:rsidRDefault="00243FA5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keine Kontaktzonen</w:t>
            </w:r>
          </w:p>
        </w:tc>
        <w:tc>
          <w:tcPr>
            <w:tcW w:w="3844" w:type="dxa"/>
          </w:tcPr>
          <w:p w14:paraId="3C57755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6FF2E3AE" w:rsidR="003E7812" w:rsidRPr="00E50033" w:rsidRDefault="00243FA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243FA5" w:rsidRPr="00B3019A" w14:paraId="59A96644" w14:textId="77777777" w:rsidTr="00243FA5">
        <w:trPr>
          <w:trHeight w:val="144"/>
        </w:trPr>
        <w:tc>
          <w:tcPr>
            <w:tcW w:w="3839" w:type="dxa"/>
          </w:tcPr>
          <w:p w14:paraId="615589AB" w14:textId="77777777" w:rsidR="00243FA5" w:rsidRPr="003E7812" w:rsidRDefault="00243FA5" w:rsidP="00243FA5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33DB0683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Unfälle durch mangelnde Aufwärmung</w:t>
            </w:r>
          </w:p>
        </w:tc>
        <w:tc>
          <w:tcPr>
            <w:tcW w:w="3839" w:type="dxa"/>
          </w:tcPr>
          <w:p w14:paraId="287B2EE1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243FA5" w:rsidRPr="00E50033" w:rsidRDefault="00243FA5" w:rsidP="00243FA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067A37D4" w14:textId="77777777" w:rsidR="00243FA5" w:rsidRDefault="00243FA5" w:rsidP="00243FA5">
            <w:pPr>
              <w:pStyle w:val="Listenabsatz"/>
              <w:ind w:left="714"/>
              <w:rPr>
                <w:rFonts w:ascii="Aptos" w:hAnsi="Aptos"/>
                <w:sz w:val="18"/>
                <w:szCs w:val="18"/>
              </w:rPr>
            </w:pPr>
          </w:p>
          <w:p w14:paraId="23AA0E71" w14:textId="7779608F" w:rsidR="00243FA5" w:rsidRPr="003E7812" w:rsidRDefault="00243FA5" w:rsidP="00243FA5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Gemeinsames Aufwärmen mit Trainern zu Beginn</w:t>
            </w:r>
          </w:p>
        </w:tc>
        <w:tc>
          <w:tcPr>
            <w:tcW w:w="3844" w:type="dxa"/>
          </w:tcPr>
          <w:p w14:paraId="6BD98013" w14:textId="77777777" w:rsidR="00243FA5" w:rsidRPr="00E50033" w:rsidRDefault="00243FA5" w:rsidP="00243FA5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6BD38138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243FA5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243FA5" w:rsidRPr="003E7812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4A50D5A2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Sonnenbrand / Überhitzung (draußen, Sommer)</w:t>
            </w:r>
          </w:p>
        </w:tc>
        <w:tc>
          <w:tcPr>
            <w:tcW w:w="3839" w:type="dxa"/>
          </w:tcPr>
          <w:p w14:paraId="5F683325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69026A9B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15B68C93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243FA5" w:rsidRPr="00E50033" w:rsidRDefault="00243FA5" w:rsidP="00243FA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243FA5" w:rsidRPr="00E50033" w:rsidRDefault="00243FA5" w:rsidP="00243FA5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959E866" w14:textId="77777777" w:rsidR="00243FA5" w:rsidRPr="00243FA5" w:rsidRDefault="00243FA5" w:rsidP="00243FA5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Sonnenschutz auftrage</w:t>
            </w:r>
            <w:r>
              <w:rPr>
                <w:rFonts w:ascii="Aptos" w:hAnsi="Aptos"/>
                <w:sz w:val="18"/>
                <w:szCs w:val="18"/>
              </w:rPr>
              <w:t>n</w:t>
            </w:r>
          </w:p>
          <w:p w14:paraId="5110D7DF" w14:textId="77777777" w:rsidR="00243FA5" w:rsidRPr="00243FA5" w:rsidRDefault="00243FA5" w:rsidP="00243FA5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Kappen erlaubt</w:t>
            </w:r>
          </w:p>
          <w:p w14:paraId="07772D7D" w14:textId="579A46EE" w:rsidR="00243FA5" w:rsidRPr="003E7812" w:rsidRDefault="00243FA5" w:rsidP="00243FA5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Regelmäßige </w:t>
            </w:r>
            <w:r w:rsidRPr="007C2B06">
              <w:rPr>
                <w:rFonts w:ascii="Aptos" w:hAnsi="Aptos"/>
                <w:sz w:val="18"/>
                <w:szCs w:val="18"/>
              </w:rPr>
              <w:t>Trinkpausen</w:t>
            </w:r>
          </w:p>
        </w:tc>
        <w:tc>
          <w:tcPr>
            <w:tcW w:w="3844" w:type="dxa"/>
          </w:tcPr>
          <w:p w14:paraId="05B12E76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78761CDD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243FA5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243FA5" w:rsidRPr="00E50033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710170E" w:rsidR="00243FA5" w:rsidRPr="003E7812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Überlastung / Kreislaufprobleme</w:t>
            </w:r>
          </w:p>
        </w:tc>
        <w:tc>
          <w:tcPr>
            <w:tcW w:w="3839" w:type="dxa"/>
          </w:tcPr>
          <w:p w14:paraId="21C42A22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339EE5C1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215D87E4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243FA5" w:rsidRPr="00E50033" w:rsidRDefault="00243FA5" w:rsidP="00243FA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243FA5" w:rsidRPr="00E50033" w:rsidRDefault="00243FA5" w:rsidP="00243FA5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3A88A4F" w14:textId="77777777" w:rsidR="00243FA5" w:rsidRDefault="00243FA5" w:rsidP="00243FA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Beobachtung durch Lehrkraft</w:t>
            </w:r>
          </w:p>
          <w:p w14:paraId="45F1D8C5" w14:textId="030E60FB" w:rsidR="00243FA5" w:rsidRPr="008B7215" w:rsidRDefault="00243FA5" w:rsidP="00243FA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 xml:space="preserve">Ermutigung zur Pause </w:t>
            </w:r>
            <w:r>
              <w:rPr>
                <w:rFonts w:ascii="Aptos" w:hAnsi="Aptos"/>
                <w:sz w:val="18"/>
                <w:szCs w:val="18"/>
              </w:rPr>
              <w:t>(</w:t>
            </w:r>
            <w:r w:rsidRPr="007C2B06">
              <w:rPr>
                <w:rFonts w:ascii="Aptos" w:hAnsi="Aptos"/>
                <w:sz w:val="18"/>
                <w:szCs w:val="18"/>
              </w:rPr>
              <w:t>bei Bedarf</w:t>
            </w:r>
            <w:r>
              <w:rPr>
                <w:rFonts w:ascii="Aptos" w:hAnsi="Aptos"/>
                <w:sz w:val="18"/>
                <w:szCs w:val="18"/>
              </w:rPr>
              <w:t>)</w:t>
            </w:r>
          </w:p>
        </w:tc>
        <w:tc>
          <w:tcPr>
            <w:tcW w:w="3844" w:type="dxa"/>
          </w:tcPr>
          <w:p w14:paraId="0124BF02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31828EF5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243FA5" w:rsidRPr="00B3019A" w14:paraId="468E5011" w14:textId="77777777" w:rsidTr="003E7812">
        <w:trPr>
          <w:trHeight w:val="2050"/>
        </w:trPr>
        <w:tc>
          <w:tcPr>
            <w:tcW w:w="3839" w:type="dxa"/>
          </w:tcPr>
          <w:p w14:paraId="1A667219" w14:textId="77777777" w:rsidR="00243FA5" w:rsidRPr="00E50033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E686438" w14:textId="511D6AFC" w:rsidR="00243FA5" w:rsidRPr="00E50033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Desorientierung / Verlassen des Geländes</w:t>
            </w:r>
          </w:p>
        </w:tc>
        <w:tc>
          <w:tcPr>
            <w:tcW w:w="3839" w:type="dxa"/>
          </w:tcPr>
          <w:p w14:paraId="0E9F57AE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379BE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4922519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5A5F6F7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003520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02ECD6" w14:textId="77777777" w:rsidR="00243FA5" w:rsidRPr="00E50033" w:rsidRDefault="00243FA5" w:rsidP="00243FA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5D97B1B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54489EA" w14:textId="77777777" w:rsidR="00243FA5" w:rsidRPr="00E50033" w:rsidRDefault="00243FA5" w:rsidP="00243FA5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A1FCAA7" w14:textId="77777777" w:rsidR="00243FA5" w:rsidRPr="00243FA5" w:rsidRDefault="00243FA5" w:rsidP="00243FA5">
            <w:pPr>
              <w:pStyle w:val="Listenabsatz"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43FA5">
              <w:rPr>
                <w:rFonts w:ascii="Aptos" w:hAnsi="Aptos"/>
                <w:sz w:val="18"/>
                <w:szCs w:val="18"/>
              </w:rPr>
              <w:t>Gelände bleibt geschlossen</w:t>
            </w:r>
            <w:r>
              <w:rPr>
                <w:rFonts w:ascii="Aptos" w:hAnsi="Aptos"/>
                <w:sz w:val="18"/>
                <w:szCs w:val="18"/>
              </w:rPr>
              <w:t xml:space="preserve"> /</w:t>
            </w:r>
          </w:p>
          <w:p w14:paraId="43A5EC4A" w14:textId="77777777" w:rsidR="00243FA5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1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Absprachen über Bereich</w:t>
            </w:r>
          </w:p>
          <w:p w14:paraId="23548E95" w14:textId="64EBC308" w:rsidR="00243FA5" w:rsidRPr="00243FA5" w:rsidRDefault="00243FA5" w:rsidP="00243FA5">
            <w:pPr>
              <w:pStyle w:val="Listenabsatz"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1" w:hanging="211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43FA5">
              <w:rPr>
                <w:rFonts w:ascii="Aptos" w:hAnsi="Aptos"/>
                <w:sz w:val="18"/>
                <w:szCs w:val="18"/>
              </w:rPr>
              <w:t>Übersicht durch Lehrkraft &amp; Trainer*innen</w:t>
            </w:r>
            <w:r w:rsidRPr="00243FA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6533D937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  <w:p w14:paraId="7DEEA073" w14:textId="7043B0BD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  <w:tr w:rsidR="00243FA5" w:rsidRPr="00B3019A" w14:paraId="3935BEF1" w14:textId="77777777" w:rsidTr="003E7812">
        <w:trPr>
          <w:trHeight w:val="2050"/>
        </w:trPr>
        <w:tc>
          <w:tcPr>
            <w:tcW w:w="3839" w:type="dxa"/>
          </w:tcPr>
          <w:p w14:paraId="51F5284A" w14:textId="77777777" w:rsidR="00243FA5" w:rsidRPr="00E50033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2C9E241" w14:textId="3715CFE1" w:rsidR="00243FA5" w:rsidRPr="00E50033" w:rsidRDefault="00243FA5" w:rsidP="00243F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Psychische Überforderung (neue Sportart, Körperlichkeit)</w:t>
            </w:r>
          </w:p>
        </w:tc>
        <w:tc>
          <w:tcPr>
            <w:tcW w:w="3839" w:type="dxa"/>
          </w:tcPr>
          <w:p w14:paraId="61154103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76BF10D" w14:textId="55A4FEA4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30B34D9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FF73A5A" w14:textId="07B62ECA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868082" w14:textId="77777777" w:rsidR="00243FA5" w:rsidRPr="00E50033" w:rsidRDefault="00243FA5" w:rsidP="00243FA5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4FCF823" w14:textId="77777777" w:rsidR="00243FA5" w:rsidRPr="00E50033" w:rsidRDefault="00243FA5" w:rsidP="00243FA5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5F99B34" w14:textId="77777777" w:rsidR="00243FA5" w:rsidRPr="00E50033" w:rsidRDefault="00243FA5" w:rsidP="00243FA5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7C80266" w14:textId="77777777" w:rsidR="00243FA5" w:rsidRPr="00E50033" w:rsidRDefault="00243FA5" w:rsidP="00243FA5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B751A7" w14:textId="77777777" w:rsidR="00243FA5" w:rsidRPr="00243FA5" w:rsidRDefault="00243FA5" w:rsidP="00243FA5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Kein Zwang zur Teilnahme an Kontaktsituationen</w:t>
            </w:r>
          </w:p>
          <w:p w14:paraId="23C3C73A" w14:textId="5B37474E" w:rsidR="00243FA5" w:rsidRPr="00E50033" w:rsidRDefault="00243FA5" w:rsidP="00243FA5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7C2B06">
              <w:rPr>
                <w:rFonts w:ascii="Aptos" w:hAnsi="Aptos"/>
                <w:sz w:val="18"/>
                <w:szCs w:val="18"/>
              </w:rPr>
              <w:t>Reflexion am Ende</w:t>
            </w:r>
          </w:p>
        </w:tc>
        <w:tc>
          <w:tcPr>
            <w:tcW w:w="3844" w:type="dxa"/>
          </w:tcPr>
          <w:p w14:paraId="606E2178" w14:textId="77777777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</w:p>
          <w:p w14:paraId="28BEC26E" w14:textId="21DF85D2" w:rsidR="00243FA5" w:rsidRPr="00E50033" w:rsidRDefault="00243FA5" w:rsidP="00243FA5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Trainer*innen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4FAD1" w14:textId="77777777" w:rsidR="00F00432" w:rsidRDefault="00F00432" w:rsidP="00884956">
      <w:r>
        <w:separator/>
      </w:r>
    </w:p>
  </w:endnote>
  <w:endnote w:type="continuationSeparator" w:id="0">
    <w:p w14:paraId="241E4140" w14:textId="77777777" w:rsidR="00F00432" w:rsidRDefault="00F00432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2328" w14:textId="77777777" w:rsidR="00F00432" w:rsidRDefault="00F00432" w:rsidP="00884956">
      <w:r>
        <w:separator/>
      </w:r>
    </w:p>
  </w:footnote>
  <w:footnote w:type="continuationSeparator" w:id="0">
    <w:p w14:paraId="715A593C" w14:textId="77777777" w:rsidR="00F00432" w:rsidRDefault="00F00432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703EA"/>
    <w:multiLevelType w:val="hybridMultilevel"/>
    <w:tmpl w:val="B756E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F3EBA"/>
    <w:multiLevelType w:val="hybridMultilevel"/>
    <w:tmpl w:val="D5385F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A7D05"/>
    <w:multiLevelType w:val="hybridMultilevel"/>
    <w:tmpl w:val="18CA5E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5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E63F6"/>
    <w:multiLevelType w:val="hybridMultilevel"/>
    <w:tmpl w:val="5A90ADB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3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6"/>
  </w:num>
  <w:num w:numId="3" w16cid:durableId="513038537">
    <w:abstractNumId w:val="20"/>
  </w:num>
  <w:num w:numId="4" w16cid:durableId="730887023">
    <w:abstractNumId w:val="11"/>
  </w:num>
  <w:num w:numId="5" w16cid:durableId="2036687499">
    <w:abstractNumId w:val="18"/>
  </w:num>
  <w:num w:numId="6" w16cid:durableId="1822696964">
    <w:abstractNumId w:val="15"/>
  </w:num>
  <w:num w:numId="7" w16cid:durableId="320623734">
    <w:abstractNumId w:val="5"/>
  </w:num>
  <w:num w:numId="8" w16cid:durableId="185991662">
    <w:abstractNumId w:val="10"/>
  </w:num>
  <w:num w:numId="9" w16cid:durableId="1473446515">
    <w:abstractNumId w:val="9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3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8"/>
  </w:num>
  <w:num w:numId="16" w16cid:durableId="1317033061">
    <w:abstractNumId w:val="21"/>
  </w:num>
  <w:num w:numId="17" w16cid:durableId="2109886541">
    <w:abstractNumId w:val="3"/>
  </w:num>
  <w:num w:numId="18" w16cid:durableId="1578053516">
    <w:abstractNumId w:val="17"/>
  </w:num>
  <w:num w:numId="19" w16cid:durableId="622613254">
    <w:abstractNumId w:val="19"/>
  </w:num>
  <w:num w:numId="20" w16cid:durableId="540823211">
    <w:abstractNumId w:val="13"/>
  </w:num>
  <w:num w:numId="21" w16cid:durableId="1011378163">
    <w:abstractNumId w:val="7"/>
  </w:num>
  <w:num w:numId="22" w16cid:durableId="1349988917">
    <w:abstractNumId w:val="22"/>
  </w:num>
  <w:num w:numId="23" w16cid:durableId="1955747577">
    <w:abstractNumId w:val="14"/>
  </w:num>
  <w:num w:numId="24" w16cid:durableId="10523422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54074"/>
    <w:rsid w:val="000941A5"/>
    <w:rsid w:val="000F1006"/>
    <w:rsid w:val="000F66B1"/>
    <w:rsid w:val="0013514C"/>
    <w:rsid w:val="001451EA"/>
    <w:rsid w:val="001743DA"/>
    <w:rsid w:val="001E4D5D"/>
    <w:rsid w:val="001F1EC5"/>
    <w:rsid w:val="00243FA5"/>
    <w:rsid w:val="00285F2C"/>
    <w:rsid w:val="002F006F"/>
    <w:rsid w:val="002F27D9"/>
    <w:rsid w:val="00337557"/>
    <w:rsid w:val="0035770A"/>
    <w:rsid w:val="0038106C"/>
    <w:rsid w:val="003E7812"/>
    <w:rsid w:val="0043694D"/>
    <w:rsid w:val="004B13FD"/>
    <w:rsid w:val="005407E8"/>
    <w:rsid w:val="005F4CAA"/>
    <w:rsid w:val="0063236B"/>
    <w:rsid w:val="0066470F"/>
    <w:rsid w:val="006B27D3"/>
    <w:rsid w:val="00712F06"/>
    <w:rsid w:val="0075309E"/>
    <w:rsid w:val="0076006A"/>
    <w:rsid w:val="00782672"/>
    <w:rsid w:val="00884956"/>
    <w:rsid w:val="008A0DEC"/>
    <w:rsid w:val="008B7215"/>
    <w:rsid w:val="009354D6"/>
    <w:rsid w:val="00953FF3"/>
    <w:rsid w:val="0095440A"/>
    <w:rsid w:val="00990E17"/>
    <w:rsid w:val="00AD435C"/>
    <w:rsid w:val="00B04016"/>
    <w:rsid w:val="00B3019A"/>
    <w:rsid w:val="00BE4084"/>
    <w:rsid w:val="00C640A3"/>
    <w:rsid w:val="00C85727"/>
    <w:rsid w:val="00CA73E1"/>
    <w:rsid w:val="00CC18AA"/>
    <w:rsid w:val="00CC7E6D"/>
    <w:rsid w:val="00D219FC"/>
    <w:rsid w:val="00E50033"/>
    <w:rsid w:val="00E904FA"/>
    <w:rsid w:val="00ED2843"/>
    <w:rsid w:val="00F00432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4</cp:revision>
  <cp:lastPrinted>2025-01-23T18:30:00Z</cp:lastPrinted>
  <dcterms:created xsi:type="dcterms:W3CDTF">2025-04-08T15:41:00Z</dcterms:created>
  <dcterms:modified xsi:type="dcterms:W3CDTF">2025-04-21T16:54:00Z</dcterms:modified>
</cp:coreProperties>
</file>