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451041D9" w14:textId="77777777" w:rsidR="00655726" w:rsidRDefault="00655726" w:rsidP="00655726">
            <w:r>
              <w:t>Boxtraining als schulische Sportveranstaltung</w:t>
            </w:r>
          </w:p>
          <w:p w14:paraId="59EC02B9" w14:textId="10E00C21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335F6D75" w14:textId="77777777" w:rsidR="00655726" w:rsidRDefault="00655726" w:rsidP="00655726">
            <w:r>
              <w:t>25 Schüler:innen im Alter von 11–16 Jahren</w:t>
            </w:r>
          </w:p>
          <w:p w14:paraId="4E314E2B" w14:textId="7E3E1AF0" w:rsidR="00CC7E6D" w:rsidRPr="004B13FD" w:rsidRDefault="00CC7E6D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68F7BFDD" w14:textId="1650FC60" w:rsidR="00CC7E6D" w:rsidRPr="00655726" w:rsidRDefault="00655726">
            <w:r>
              <w:t>1 Lehrkraft (pädagogische Aufsicht), unterstützt von 3 im Boxen ausgebildeten Trainer:innen des Vereins</w:t>
            </w: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7F500FBB" w14:textId="6DC604C1" w:rsidR="00BB1F40" w:rsidRPr="00655726" w:rsidRDefault="00655726" w:rsidP="00655726">
            <w:r>
              <w:t>Förderung der koordinativen Fähigkeiten, Körperkontrolle, Selbstdisziplin, Regelakzeptanz und Fairness. Einordnung in das Bewegungsfeld „Zweikampfsport“ gemäß LehrplanPLUS Sport.</w:t>
            </w:r>
          </w:p>
          <w:p w14:paraId="23B1CFE1" w14:textId="6F741161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0F52FA8E" w14:textId="77777777" w:rsidR="00655726" w:rsidRDefault="00655726" w:rsidP="00655726">
            <w:r>
              <w:t>25.09.2025, 09:00–10:30 Uhr</w:t>
            </w:r>
            <w:r>
              <w:br/>
              <w:t>Stark Boxing, Bahnhofstraße 5, 89269 Vöhringen</w:t>
            </w:r>
          </w:p>
          <w:p w14:paraId="6FEBA3C0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1DBB04B7" w14:textId="3D786E7F" w:rsidR="00BB1F40" w:rsidRPr="00AD435C" w:rsidRDefault="00BB1F40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2F9C6867" w:rsidR="00CC7E6D" w:rsidRPr="00655726" w:rsidRDefault="00655726" w:rsidP="00655726">
            <w:r>
              <w:t>DGUV Vorschrift 1 und 100-001, LehrplanPLUS Sport Bayern, Schulordnung, Hausordnung der Sportstätte, Einverständniserklärung der Erziehungsberechtigten.</w:t>
            </w: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1531378C" w14:textId="77777777" w:rsidR="00655726" w:rsidRDefault="00655726" w:rsidP="00655726">
            <w:r>
              <w:t>Trainer:innen von Stark Boxing (vereinsintern mit Erfahrung im Kinder- und Jugendtraining), Erste-Hilfe-Beauftragte der Schule.</w:t>
            </w:r>
          </w:p>
          <w:p w14:paraId="03A15EE0" w14:textId="535C6387" w:rsidR="00BB1F40" w:rsidRPr="00AD435C" w:rsidRDefault="00BB1F40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7022949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0C8998E3" w14:textId="1DBA3D6F" w:rsidR="00BB1F40" w:rsidRPr="00655726" w:rsidRDefault="00655726" w:rsidP="00655726">
            <w:r>
              <w:t>Boxtechniken werden in Gruppen und Stationen kontaktarm vermittelt. Es kommen Pratzen, Boxsäcke, Handschuhe und ggf. Mundschutz zum Einsatz. Keine Sparringskämpfe. Sicherheitseinweisung und Techniktraining erfolgen unter Anleitung.</w:t>
            </w:r>
          </w:p>
          <w:p w14:paraId="559B5B61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4AADE93A" w14:textId="1076FFF7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2BA56E43" w14:textId="77777777" w:rsidR="00655726" w:rsidRDefault="00655726" w:rsidP="00655726">
            <w:r>
              <w:t>Sportstätte Stark Boxing – ausgestattet mit Trainingsfläche, Matten, Boxsäcken, Umkleiden. Trainer:innen sind mit der Halle und Gefährdungen vertraut. Anreise erfolgt über Schulweg oder in Eigenregie der Eltern.</w:t>
            </w:r>
          </w:p>
          <w:p w14:paraId="508EB9D5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1DBD7459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190165D8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7514569" w14:textId="47BAC6FE" w:rsidR="00BB1F40" w:rsidRPr="00655726" w:rsidRDefault="00655726" w:rsidP="00655726">
            <w:r>
              <w:lastRenderedPageBreak/>
              <w:t>Gruppe besteht aus Schüler:innen im Alter von 11–16 Jahren, heterogen in Bezug auf Erfahrung und Fitness. Keine bekannten medizinischen Einschränkungen. Aufsichtsschlüssel ausreichend. Gruppendynamik wird beobachtet.</w:t>
            </w:r>
          </w:p>
          <w:p w14:paraId="45EDE26B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FC951C2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A3C8C6C" w14:textId="121F055F" w:rsidR="00655726" w:rsidRDefault="00655726" w:rsidP="00655726">
            <w:r>
              <w:lastRenderedPageBreak/>
              <w:t>1 Lehrkraft mit Erste-Hilfe-Ausbildung. 3 Boxtrainer:innen mit pädagogischer Erfahrung im Umgang mit Kindern ab 7 Jahren. Einweisung in Regeln, Technik und Verhalten erfolgt im Vorfeld.</w:t>
            </w:r>
          </w:p>
          <w:p w14:paraId="481F3FC0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2500886A" w:rsidR="00CC7E6D" w:rsidRPr="00655726" w:rsidRDefault="00CC7E6D" w:rsidP="002F006F">
            <w:r w:rsidRPr="00AD435C">
              <w:rPr>
                <w:rFonts w:ascii="Aptos" w:hAnsi="Aptos"/>
                <w:b/>
                <w:bCs/>
              </w:rPr>
              <w:lastRenderedPageBreak/>
              <w:t xml:space="preserve">Erste Hilfe – aktuell ausgebildete Person: </w:t>
            </w:r>
            <w:r w:rsidR="00655726">
              <w:t>Lehrkraft und mindestens 1 Trainer:in</w:t>
            </w:r>
          </w:p>
          <w:p w14:paraId="73902604" w14:textId="1E122C60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655726">
              <w:t>Verbandkasten, Kühlpacks, Handschuhe</w:t>
            </w:r>
          </w:p>
          <w:p w14:paraId="7E62CEE7" w14:textId="343B3B87" w:rsidR="00BB1F40" w:rsidRPr="00BB1F40" w:rsidRDefault="00CC7E6D" w:rsidP="002F006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655726">
              <w:t>Mobiltelefone mit gespeicherter Notfalladresse. Notfallaufnahme Illertissen</w:t>
            </w: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655726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655726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655726" w:rsidRPr="00B3019A" w14:paraId="6E49E7BB" w14:textId="44E10AE9" w:rsidTr="00655726">
        <w:trPr>
          <w:trHeight w:val="2050"/>
        </w:trPr>
        <w:tc>
          <w:tcPr>
            <w:tcW w:w="3839" w:type="dxa"/>
          </w:tcPr>
          <w:p w14:paraId="26CE1B12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3D0FA2B2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Verletzung durch Schläge</w:t>
            </w:r>
          </w:p>
        </w:tc>
        <w:tc>
          <w:tcPr>
            <w:tcW w:w="3839" w:type="dxa"/>
          </w:tcPr>
          <w:p w14:paraId="7BC7292C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69F31B14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7D23F3FE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FE812C2" w14:textId="032AD19B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Kontaktarme Technikübungen, keine Sparrings, Schutzausrüstung (Handschuhe)</w:t>
            </w:r>
          </w:p>
        </w:tc>
        <w:tc>
          <w:tcPr>
            <w:tcW w:w="3844" w:type="dxa"/>
          </w:tcPr>
          <w:p w14:paraId="067B9F8E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60F243B8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Visuelle Kontrolle durch Lehrkraft und Trainer:innen; regelmäßige Rückmeldung zum Sicherheitsverhalten.</w:t>
            </w:r>
          </w:p>
        </w:tc>
      </w:tr>
      <w:tr w:rsidR="00655726" w:rsidRPr="00B3019A" w14:paraId="729BE74A" w14:textId="427EEAE4" w:rsidTr="00655726">
        <w:trPr>
          <w:trHeight w:val="279"/>
        </w:trPr>
        <w:tc>
          <w:tcPr>
            <w:tcW w:w="3839" w:type="dxa"/>
          </w:tcPr>
          <w:p w14:paraId="02EA0555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06516C54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Überlastung / Erschöpfung</w:t>
            </w:r>
          </w:p>
        </w:tc>
        <w:tc>
          <w:tcPr>
            <w:tcW w:w="3839" w:type="dxa"/>
          </w:tcPr>
          <w:p w14:paraId="59FAC36B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4C58138E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F9D16A5" w14:textId="56C80B19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Regelmäßige Trinkpausen, Anpassung an individuelles Leistungsniveau</w:t>
            </w:r>
          </w:p>
        </w:tc>
        <w:tc>
          <w:tcPr>
            <w:tcW w:w="3844" w:type="dxa"/>
          </w:tcPr>
          <w:p w14:paraId="6DDD7D05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6C6EF524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Pausen werden eingehalten, Beobachtung der Belastbarkeit durch Trainer:innen; 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lastRenderedPageBreak/>
              <w:t>Rückmeldung durch Teilnehmende.</w:t>
            </w:r>
          </w:p>
        </w:tc>
      </w:tr>
      <w:tr w:rsidR="00655726" w:rsidRPr="00B3019A" w14:paraId="247F2822" w14:textId="77777777" w:rsidTr="00655726">
        <w:trPr>
          <w:trHeight w:val="144"/>
        </w:trPr>
        <w:tc>
          <w:tcPr>
            <w:tcW w:w="3839" w:type="dxa"/>
          </w:tcPr>
          <w:p w14:paraId="03086184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3BFE67A0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Stolper-/Rutschgefahr</w:t>
            </w:r>
          </w:p>
        </w:tc>
        <w:tc>
          <w:tcPr>
            <w:tcW w:w="3839" w:type="dxa"/>
          </w:tcPr>
          <w:p w14:paraId="714BA40E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12B2D2BF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594F2555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655726" w:rsidRPr="00E50033" w:rsidRDefault="00655726" w:rsidP="00655726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FF7FC9B" w14:textId="444CAAC3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Geeigneter Bodenbelag, saubere Trainingsfläche, festes Schuhwerk</w:t>
            </w:r>
          </w:p>
        </w:tc>
        <w:tc>
          <w:tcPr>
            <w:tcW w:w="3844" w:type="dxa"/>
          </w:tcPr>
          <w:p w14:paraId="3C577556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36B0787B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Sichtkontrolle der Halle vor Veranstaltungsbeginn; stichprobenartige Beobachtung während der Übungseinheiten.</w:t>
            </w:r>
          </w:p>
        </w:tc>
      </w:tr>
      <w:tr w:rsidR="00655726" w:rsidRPr="00B3019A" w14:paraId="59A96644" w14:textId="77777777" w:rsidTr="00655726">
        <w:trPr>
          <w:trHeight w:val="144"/>
        </w:trPr>
        <w:tc>
          <w:tcPr>
            <w:tcW w:w="3839" w:type="dxa"/>
          </w:tcPr>
          <w:p w14:paraId="615589AB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20EB3DD9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Nichtbeachtung der Regeln</w:t>
            </w:r>
          </w:p>
        </w:tc>
        <w:tc>
          <w:tcPr>
            <w:tcW w:w="3839" w:type="dxa"/>
          </w:tcPr>
          <w:p w14:paraId="287B2EE1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11A4ED6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655726" w:rsidRPr="00E50033" w:rsidRDefault="00655726" w:rsidP="00655726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434B8542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Klare Einweisung, konsequentes Einschreiten bei Regelverstoß</w:t>
            </w:r>
          </w:p>
        </w:tc>
        <w:tc>
          <w:tcPr>
            <w:tcW w:w="3844" w:type="dxa"/>
          </w:tcPr>
          <w:p w14:paraId="6BD98013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2EFC1FA9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Regelkenntnis wird vorab abgefragt; Rückmeldungen der Trainer:innen zur Einhaltung und ggf. Maßnahmenprotokoll.</w:t>
            </w:r>
          </w:p>
        </w:tc>
      </w:tr>
      <w:tr w:rsidR="00655726" w:rsidRPr="00B3019A" w14:paraId="0C379B73" w14:textId="77777777" w:rsidTr="00655726">
        <w:trPr>
          <w:trHeight w:val="2050"/>
        </w:trPr>
        <w:tc>
          <w:tcPr>
            <w:tcW w:w="3839" w:type="dxa"/>
          </w:tcPr>
          <w:p w14:paraId="7C5D1C43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71201874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Aggressionen im Gruppenkontext</w:t>
            </w:r>
          </w:p>
        </w:tc>
        <w:tc>
          <w:tcPr>
            <w:tcW w:w="3839" w:type="dxa"/>
          </w:tcPr>
          <w:p w14:paraId="5F683325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6A17E0DC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0E77056D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7772D7D" w14:textId="0F1AD224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Regelorientiertes Verhalten fördern, Eskalation vorbeugen</w:t>
            </w:r>
          </w:p>
        </w:tc>
        <w:tc>
          <w:tcPr>
            <w:tcW w:w="3844" w:type="dxa"/>
          </w:tcPr>
          <w:p w14:paraId="05B12E76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75F50ED6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Beobachtung durch Lehrkraft; bei Vorfällen wird reflektiert und dokumentiert, ggf. Nachbesprechung.</w:t>
            </w:r>
          </w:p>
        </w:tc>
      </w:tr>
      <w:tr w:rsidR="00655726" w:rsidRPr="00B3019A" w14:paraId="614375FB" w14:textId="77777777" w:rsidTr="00655726">
        <w:trPr>
          <w:trHeight w:val="2050"/>
        </w:trPr>
        <w:tc>
          <w:tcPr>
            <w:tcW w:w="3839" w:type="dxa"/>
          </w:tcPr>
          <w:p w14:paraId="23C92F6C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2D18E676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Infektionsrisiken</w:t>
            </w:r>
          </w:p>
        </w:tc>
        <w:tc>
          <w:tcPr>
            <w:tcW w:w="3839" w:type="dxa"/>
          </w:tcPr>
          <w:p w14:paraId="21C42A22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731AE6DF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1B60A047" w:rsidR="00655726" w:rsidRPr="00655726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>
              <w:t>Hygienevorgaben beachten, Desinfektion von Leihmaterial, keine Teilnahme bei Symptomen</w:t>
            </w:r>
          </w:p>
        </w:tc>
        <w:tc>
          <w:tcPr>
            <w:tcW w:w="3844" w:type="dxa"/>
          </w:tcPr>
          <w:p w14:paraId="0124BF02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2BDE4626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Kontrolle der Hygienemaßnahmen vor und nach der Veranstaltung; Abfrage zu Symptomen bei der Anmeldung.</w:t>
            </w:r>
          </w:p>
        </w:tc>
      </w:tr>
      <w:tr w:rsidR="00655726" w:rsidRPr="00B3019A" w14:paraId="5DC4EE49" w14:textId="77777777" w:rsidTr="00655726">
        <w:trPr>
          <w:trHeight w:val="2050"/>
        </w:trPr>
        <w:tc>
          <w:tcPr>
            <w:tcW w:w="3839" w:type="dxa"/>
          </w:tcPr>
          <w:p w14:paraId="71C6A2AC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0442CAF4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Platzmangel / Raumkollision</w:t>
            </w:r>
          </w:p>
        </w:tc>
        <w:tc>
          <w:tcPr>
            <w:tcW w:w="3839" w:type="dxa"/>
          </w:tcPr>
          <w:p w14:paraId="45331CFE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1B38F4FA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457E18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4F73DD4" w14:textId="247AB3AC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Stationen und Kleingruppenarbeit, max. 7 Schüler pro Trainer</w:t>
            </w:r>
          </w:p>
        </w:tc>
        <w:tc>
          <w:tcPr>
            <w:tcW w:w="3844" w:type="dxa"/>
          </w:tcPr>
          <w:p w14:paraId="66862DCB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44B22D8B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Trainer:innen überprüfen Gruppengröße und Abstand während der Übungen; Anpassung bei Bedarf.</w:t>
            </w:r>
          </w:p>
        </w:tc>
      </w:tr>
      <w:tr w:rsidR="00655726" w:rsidRPr="00B3019A" w14:paraId="5C1BFD85" w14:textId="77777777" w:rsidTr="00655726">
        <w:trPr>
          <w:trHeight w:val="2050"/>
        </w:trPr>
        <w:tc>
          <w:tcPr>
            <w:tcW w:w="3839" w:type="dxa"/>
          </w:tcPr>
          <w:p w14:paraId="1002AAC7" w14:textId="77777777" w:rsidR="00655726" w:rsidRPr="00E65538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61CA25E4" w:rsidR="00655726" w:rsidRPr="00E65538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Psychische Überforderung</w:t>
            </w:r>
          </w:p>
        </w:tc>
        <w:tc>
          <w:tcPr>
            <w:tcW w:w="3839" w:type="dxa"/>
          </w:tcPr>
          <w:p w14:paraId="162F87B5" w14:textId="77777777" w:rsidR="00655726" w:rsidRPr="00E65538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875E6EC" w14:textId="231C997C" w:rsidR="00655726" w:rsidRPr="00E65538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42C4A0A1" w:rsidR="00655726" w:rsidRPr="00E65538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t xml:space="preserve">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65538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655726" w:rsidRPr="00E65538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F170700" w14:textId="75363BB2" w:rsidR="00655726" w:rsidRPr="00E65538" w:rsidRDefault="00655726" w:rsidP="00655726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Keine Bewertungssituation, Freiwilligkeit, Unterstützung durch Lehrkraft</w:t>
            </w:r>
          </w:p>
        </w:tc>
        <w:tc>
          <w:tcPr>
            <w:tcW w:w="3844" w:type="dxa"/>
          </w:tcPr>
          <w:p w14:paraId="105ED624" w14:textId="77777777" w:rsidR="00655726" w:rsidRPr="00E65538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3022F2D2" w:rsidR="00655726" w:rsidRPr="00E65538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Subjektive Rückmeldung der Schüler:innen wird eingeholt; Beobachtung durch Lehrkraft auf Überforderungssignale.</w:t>
            </w:r>
          </w:p>
        </w:tc>
      </w:tr>
    </w:tbl>
    <w:p w14:paraId="4B67BA56" w14:textId="77777777" w:rsidR="002F27D9" w:rsidRPr="00E50033" w:rsidRDefault="002F27D9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ABD05" w14:textId="77777777" w:rsidR="0040744A" w:rsidRDefault="0040744A" w:rsidP="00884956">
      <w:r>
        <w:separator/>
      </w:r>
    </w:p>
  </w:endnote>
  <w:endnote w:type="continuationSeparator" w:id="0">
    <w:p w14:paraId="5DAC5800" w14:textId="77777777" w:rsidR="0040744A" w:rsidRDefault="0040744A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C3129" w14:textId="77777777" w:rsidR="0040744A" w:rsidRDefault="0040744A" w:rsidP="00884956">
      <w:r>
        <w:separator/>
      </w:r>
    </w:p>
  </w:footnote>
  <w:footnote w:type="continuationSeparator" w:id="0">
    <w:p w14:paraId="068BCA4F" w14:textId="77777777" w:rsidR="0040744A" w:rsidRDefault="0040744A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3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5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2F006F"/>
    <w:rsid w:val="002F27D9"/>
    <w:rsid w:val="00337557"/>
    <w:rsid w:val="0040744A"/>
    <w:rsid w:val="0043694D"/>
    <w:rsid w:val="004B13FD"/>
    <w:rsid w:val="004D3325"/>
    <w:rsid w:val="00655726"/>
    <w:rsid w:val="0066470F"/>
    <w:rsid w:val="006B27D3"/>
    <w:rsid w:val="006D26CD"/>
    <w:rsid w:val="00712F06"/>
    <w:rsid w:val="0076006A"/>
    <w:rsid w:val="00884956"/>
    <w:rsid w:val="009354D6"/>
    <w:rsid w:val="00990E17"/>
    <w:rsid w:val="009C3996"/>
    <w:rsid w:val="00AD1301"/>
    <w:rsid w:val="00AD435C"/>
    <w:rsid w:val="00B04016"/>
    <w:rsid w:val="00B3019A"/>
    <w:rsid w:val="00BB1F40"/>
    <w:rsid w:val="00BE4084"/>
    <w:rsid w:val="00C640A3"/>
    <w:rsid w:val="00C85727"/>
    <w:rsid w:val="00CC7E6D"/>
    <w:rsid w:val="00D179F0"/>
    <w:rsid w:val="00D219FC"/>
    <w:rsid w:val="00E50033"/>
    <w:rsid w:val="00E65538"/>
    <w:rsid w:val="00E81645"/>
    <w:rsid w:val="00E9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774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Patrick Negele</cp:lastModifiedBy>
  <cp:revision>5</cp:revision>
  <cp:lastPrinted>2025-01-23T17:20:00Z</cp:lastPrinted>
  <dcterms:created xsi:type="dcterms:W3CDTF">2025-01-23T17:23:00Z</dcterms:created>
  <dcterms:modified xsi:type="dcterms:W3CDTF">2025-07-22T08:52:00Z</dcterms:modified>
</cp:coreProperties>
</file>